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2</w:t>
      </w:r>
    </w:p>
    <w:p>
      <w:pPr>
        <w:spacing w:line="240" w:lineRule="exact"/>
        <w:rPr>
          <w:rFonts w:ascii="Times New Roman" w:hAnsi="Times New Roman" w:eastAsia="黑体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bookmarkStart w:id="4" w:name="_GoBack"/>
      <w:r>
        <w:rPr>
          <w:rFonts w:ascii="Times New Roman" w:hAnsi="Times New Roman" w:eastAsia="方正小标宋简体"/>
          <w:sz w:val="44"/>
          <w:szCs w:val="44"/>
        </w:rPr>
        <w:t>广州</w:t>
      </w:r>
      <w:r>
        <w:fldChar w:fldCharType="begin"/>
      </w:r>
      <w:r>
        <w:instrText xml:space="preserve"> HYPERLINK "http://192.168.65.26/GZHR/SubSystem.aspx?PATH=LKGL&amp;TOKENID=TXhiSXhlMkhVT3ZwQ2NmQkpTOThuUT09" \t "_blank" </w:instrText>
      </w:r>
      <w:r>
        <w:fldChar w:fldCharType="separate"/>
      </w:r>
      <w:r>
        <w:rPr>
          <w:rFonts w:ascii="Times New Roman" w:hAnsi="Times New Roman" w:eastAsia="方正小标宋简体"/>
          <w:sz w:val="44"/>
          <w:szCs w:val="44"/>
        </w:rPr>
        <w:t>市人才绿卡管理系统</w:t>
      </w:r>
      <w:r>
        <w:rPr>
          <w:rFonts w:ascii="Times New Roman" w:hAnsi="Times New Roman" w:eastAsia="方正小标宋简体"/>
          <w:sz w:val="44"/>
          <w:szCs w:val="44"/>
        </w:rPr>
        <w:fldChar w:fldCharType="end"/>
      </w:r>
      <w:r>
        <w:rPr>
          <w:rFonts w:ascii="Times New Roman" w:hAnsi="Times New Roman" w:eastAsia="方正小标宋简体"/>
          <w:sz w:val="44"/>
          <w:szCs w:val="44"/>
        </w:rPr>
        <w:t>个人业务</w:t>
      </w:r>
    </w:p>
    <w:p>
      <w:pPr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申报操作指南</w:t>
      </w:r>
      <w:bookmarkEnd w:id="4"/>
    </w:p>
    <w:p>
      <w:pPr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/>
          <w:b w:val="0"/>
          <w:kern w:val="0"/>
        </w:rPr>
      </w:pPr>
      <w:bookmarkStart w:id="0" w:name="_Toc319336615"/>
      <w:r>
        <w:rPr>
          <w:rFonts w:ascii="Times New Roman" w:hAnsi="Times New Roman"/>
          <w:b w:val="0"/>
          <w:kern w:val="0"/>
        </w:rPr>
        <w:t>系统访问地址及权限申请</w:t>
      </w:r>
      <w:bookmarkEnd w:id="0"/>
    </w:p>
    <w:p>
      <w:pPr>
        <w:ind w:left="560"/>
        <w:jc w:val="left"/>
        <w:rPr>
          <w:rFonts w:ascii="Times New Roman" w:hAnsi="Times New Roman"/>
          <w:b/>
          <w:szCs w:val="36"/>
        </w:rPr>
      </w:pPr>
      <w:r>
        <w:rPr>
          <w:rFonts w:ascii="Times New Roman" w:hAnsi="Times New Roman" w:eastAsia="楷体_GB2312"/>
          <w:b/>
          <w:sz w:val="28"/>
          <w:szCs w:val="28"/>
        </w:rPr>
        <w:t>（一）访问地址</w:t>
      </w:r>
      <w:r>
        <w:rPr>
          <w:rFonts w:hint="eastAsia" w:ascii="Times New Roman" w:hAnsi="Times New Roman" w:eastAsia="楷体_GB2312"/>
          <w:b/>
          <w:sz w:val="28"/>
          <w:szCs w:val="28"/>
        </w:rPr>
        <w:t>。</w:t>
      </w:r>
    </w:p>
    <w:p>
      <w:pPr>
        <w:ind w:firstLine="551" w:firstLineChars="19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http://www.hrssgz.gov.cn/vsgzhr/login_rclk2.aspx</w:t>
      </w:r>
    </w:p>
    <w:p>
      <w:pPr>
        <w:ind w:left="560"/>
        <w:jc w:val="left"/>
        <w:rPr>
          <w:rFonts w:ascii="Times New Roman" w:hAnsi="Times New Roman" w:eastAsia="楷体_GB2312"/>
          <w:b/>
          <w:sz w:val="28"/>
          <w:szCs w:val="28"/>
        </w:rPr>
      </w:pPr>
      <w:r>
        <w:rPr>
          <w:rFonts w:ascii="Times New Roman" w:hAnsi="Times New Roman" w:eastAsia="楷体_GB2312"/>
          <w:b/>
          <w:sz w:val="28"/>
          <w:szCs w:val="28"/>
        </w:rPr>
        <w:t>（二）用户注册</w:t>
      </w:r>
      <w:r>
        <w:rPr>
          <w:rFonts w:hint="eastAsia" w:ascii="Times New Roman" w:hAnsi="Times New Roman" w:eastAsia="楷体_GB2312"/>
          <w:b/>
          <w:sz w:val="28"/>
          <w:szCs w:val="28"/>
        </w:rPr>
        <w:t>。</w:t>
      </w:r>
    </w:p>
    <w:p>
      <w:pPr>
        <w:pStyle w:val="5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1、个人用户注册</w:t>
      </w:r>
    </w:p>
    <w:p>
      <w:pPr>
        <w:pStyle w:val="5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操作说明：点击【用户注册】进入注册页面：</w:t>
      </w:r>
    </w:p>
    <w:p>
      <w:pPr>
        <w:pStyle w:val="5"/>
        <w:ind w:left="42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3900170" cy="269621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2、同意服务协议，并点击【下一步】：</w:t>
      </w:r>
    </w:p>
    <w:p>
      <w:pPr>
        <w:pStyle w:val="5"/>
        <w:ind w:left="42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217670" cy="23545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3、勾选需申报的业务系统，点击【下一步】进入填写页面：</w:t>
      </w:r>
    </w:p>
    <w:p>
      <w:pPr>
        <w:pStyle w:val="5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521200" cy="2549525"/>
            <wp:effectExtent l="0" t="0" r="12700" b="3175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4、后面带 * 的为必填项； 该资料为个人所有，只有本人享有此资料的修改和使用。</w:t>
      </w:r>
    </w:p>
    <w:p>
      <w:pPr>
        <w:pStyle w:val="5"/>
        <w:ind w:firstLine="551" w:firstLineChars="196"/>
        <w:rPr>
          <w:rFonts w:ascii="Times New Roman" w:hAnsi="Times New Roman" w:eastAsia="仿宋_GB2312"/>
          <w:b/>
          <w:kern w:val="0"/>
          <w:sz w:val="28"/>
          <w:szCs w:val="28"/>
        </w:rPr>
      </w:pPr>
      <w:r>
        <w:rPr>
          <w:rFonts w:ascii="Times New Roman" w:hAnsi="Times New Roman" w:eastAsia="仿宋_GB2312"/>
          <w:b/>
          <w:kern w:val="0"/>
          <w:sz w:val="28"/>
          <w:szCs w:val="28"/>
        </w:rPr>
        <w:t>注：一个身份证号码只能注册一次，成功注册后身份证号码和用户名将不能修改。操作完该步骤即为完成个人用户账号注册。</w:t>
      </w:r>
    </w:p>
    <w:p>
      <w:pPr>
        <w:pStyle w:val="5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3594735" cy="22288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/>
          <w:b w:val="0"/>
          <w:kern w:val="0"/>
        </w:rPr>
      </w:pPr>
      <w:bookmarkStart w:id="1" w:name="_Toc319336616"/>
      <w:r>
        <w:rPr>
          <w:rFonts w:ascii="Times New Roman" w:hAnsi="Times New Roman"/>
          <w:b w:val="0"/>
          <w:kern w:val="0"/>
        </w:rPr>
        <w:t>系统操作总流程图</w:t>
      </w:r>
      <w:bookmarkEnd w:id="1"/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3342640" cy="49047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490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/>
          <w:b w:val="0"/>
          <w:kern w:val="0"/>
        </w:rPr>
      </w:pPr>
      <w:bookmarkStart w:id="2" w:name="_Toc319336617"/>
      <w:r>
        <w:rPr>
          <w:rFonts w:ascii="Times New Roman" w:hAnsi="Times New Roman"/>
          <w:b w:val="0"/>
          <w:kern w:val="0"/>
        </w:rPr>
        <w:t>业务申报、审批流程</w:t>
      </w:r>
      <w:bookmarkEnd w:id="2"/>
    </w:p>
    <w:p>
      <w:pPr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系统的业务流程均是基于个人申报、业务窗口受理，人社局审核、审批，全流程电子管理。</w:t>
      </w:r>
    </w:p>
    <w:p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drawing>
          <wp:inline distT="0" distB="0" distL="114300" distR="114300">
            <wp:extent cx="5739130" cy="661035"/>
            <wp:effectExtent l="0" t="0" r="139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/>
          <w:b w:val="0"/>
          <w:kern w:val="0"/>
        </w:rPr>
      </w:pPr>
      <w:bookmarkStart w:id="3" w:name="_Toc319336618"/>
      <w:r>
        <w:rPr>
          <w:rFonts w:ascii="Times New Roman" w:hAnsi="Times New Roman"/>
          <w:b w:val="0"/>
          <w:kern w:val="0"/>
        </w:rPr>
        <w:t>系统业务操作步骤</w:t>
      </w:r>
      <w:bookmarkEnd w:id="3"/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业务办理总体流程图如下：</w:t>
      </w: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3064510" cy="450088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1" w:firstLineChars="196"/>
        <w:rPr>
          <w:rFonts w:ascii="Times New Roman" w:hAnsi="Times New Roman" w:eastAsia="仿宋_GB2312"/>
          <w:b/>
          <w:sz w:val="28"/>
          <w:szCs w:val="28"/>
        </w:rPr>
      </w:pPr>
      <w:r>
        <w:rPr>
          <w:rFonts w:ascii="Times New Roman" w:hAnsi="Times New Roman" w:eastAsia="仿宋_GB2312"/>
          <w:b/>
          <w:sz w:val="28"/>
          <w:szCs w:val="28"/>
        </w:rPr>
        <w:t>注意：在人才绿卡个人申报业务操作中，一次申请后直到该业务办结才能再次申请。</w:t>
      </w:r>
    </w:p>
    <w:p>
      <w:pPr>
        <w:ind w:firstLine="549" w:firstLineChars="196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个人申请业务功能说明：</w:t>
      </w:r>
    </w:p>
    <w:p>
      <w:pPr>
        <w:ind w:firstLine="560" w:firstLineChars="200"/>
        <w:rPr>
          <w:rFonts w:ascii="Times New Roman" w:hAnsi="Times New Roman" w:eastAsia="仿宋_GB2312"/>
          <w:b/>
          <w:sz w:val="30"/>
          <w:szCs w:val="30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业务共分为 ：基本信息、学历学位情况、工作经历、副卡申请、附件材料。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在左边的菜单树选择“广州市人才绿卡个人申报业务”，点击业务方案，如下图所示：</w:t>
      </w:r>
    </w:p>
    <w:p>
      <w:pPr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450205" cy="610235"/>
            <wp:effectExtent l="0" t="0" r="1714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1、点击“新申请”，即可办理新业务，如下图所示：</w:t>
      </w:r>
    </w:p>
    <w:p>
      <w:pPr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614035" cy="1225550"/>
            <wp:effectExtent l="0" t="0" r="571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2、进入申报页面，选择“办证类型”及“申请绿卡类别”，如下图所示：</w:t>
      </w:r>
    </w:p>
    <w:p>
      <w:pPr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687060" cy="2043430"/>
            <wp:effectExtent l="0" t="0" r="889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注：申请新办时，如该用户有正在申办中的业务，限制不允许新办；有新办过绿卡业务的人员，才可以申请补办、变更、续办业务；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3、依次填写</w:t>
      </w:r>
      <w:r>
        <w:rPr>
          <w:rFonts w:ascii="Times New Roman" w:hAnsi="Times New Roman" w:eastAsia="仿宋_GB2312"/>
          <w:color w:val="000000"/>
          <w:sz w:val="28"/>
          <w:szCs w:val="28"/>
        </w:rPr>
        <w:t>基本信息、学历学位情况、工作经历、副卡申请、附件材料。</w:t>
      </w:r>
      <w:r>
        <w:rPr>
          <w:rFonts w:ascii="Times New Roman" w:hAnsi="Times New Roman" w:eastAsia="仿宋_GB2312"/>
          <w:sz w:val="28"/>
          <w:szCs w:val="28"/>
        </w:rPr>
        <w:t>如“只申请主卡”类型，必须填写基本信息项，无需填写副卡信息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  <w:r>
        <w:rPr>
          <w:rFonts w:ascii="Times New Roman" w:hAnsi="Times New Roman" w:eastAsia="仿宋_GB2312"/>
          <w:sz w:val="28"/>
          <w:szCs w:val="28"/>
        </w:rPr>
        <w:t>如“同时申请主卡与副卡”类型，必须填写副卡信息项，否则系统提示填写该项。</w:t>
      </w:r>
    </w:p>
    <w:p>
      <w:pPr>
        <w:tabs>
          <w:tab w:val="left" w:pos="142"/>
        </w:tabs>
        <w:ind w:left="94" w:leftChars="45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基本信息如下所示：</w:t>
      </w:r>
    </w:p>
    <w:p>
      <w:pPr>
        <w:tabs>
          <w:tab w:val="left" w:pos="142"/>
        </w:tabs>
        <w:ind w:left="141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683885" cy="2975610"/>
            <wp:effectExtent l="0" t="0" r="1206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left="94" w:leftChars="45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新办业务时 ，绿卡起始日期为业务启动日期，不允许修改；</w:t>
      </w:r>
    </w:p>
    <w:p>
      <w:pPr>
        <w:tabs>
          <w:tab w:val="left" w:pos="142"/>
        </w:tabs>
        <w:ind w:left="94" w:leftChars="45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填写完毕后点“保存”即可，点“保存下一步”直接跳转到学历学位情况填写界面，也可以通过左边的导航页点击学历学位情况连接到此对应界面。如下所示:</w:t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612765" cy="1005205"/>
            <wp:effectExtent l="0" t="0" r="698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628005" cy="2031365"/>
            <wp:effectExtent l="0" t="0" r="1079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</w:rPr>
      </w:pPr>
    </w:p>
    <w:p>
      <w:pPr>
        <w:tabs>
          <w:tab w:val="left" w:pos="142"/>
        </w:tabs>
        <w:ind w:left="212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4、学历学位情况，如下所示：</w:t>
      </w:r>
    </w:p>
    <w:p>
      <w:pPr>
        <w:tabs>
          <w:tab w:val="left" w:pos="142"/>
        </w:tabs>
        <w:ind w:left="94" w:leftChars="45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点击“新增”即可打开学历学位编辑窗口，输入完毕后点“保存并关闭”或“保存并新增”保存所填写资料。</w:t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596255" cy="3026410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5、工作经历情况，如下所示：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点击“新增”即可打开工作经历编辑窗口，输入完毕后点“保存关闭”或“保存并新增”保存填写资料。</w:t>
      </w:r>
    </w:p>
    <w:p>
      <w:pPr>
        <w:tabs>
          <w:tab w:val="left" w:pos="142"/>
        </w:tabs>
        <w:ind w:left="420"/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135880" cy="24003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left="141"/>
        <w:rPr>
          <w:rFonts w:ascii="Times New Roman" w:hAnsi="Times New Roman" w:eastAsia="仿宋_GB2312"/>
          <w:sz w:val="28"/>
          <w:szCs w:val="28"/>
        </w:rPr>
      </w:pP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6、副卡申请，如下所示：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点击“新增”打开副卡信息编辑窗口，新办业务时“绿卡起始日期”栏位为业务启动日期，不允许修改，填写完毕后点“保存”或“保存并关闭”</w:t>
      </w:r>
    </w:p>
    <w:p>
      <w:pPr>
        <w:tabs>
          <w:tab w:val="left" w:pos="142"/>
        </w:tabs>
        <w:ind w:left="420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267960" cy="3210560"/>
            <wp:effectExtent l="0" t="0" r="889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7、附件材料，如下所示：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操作步骤如：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（1）打开附件材料界面，点“附件上传”，在编辑窗口中选择上传的附件类型，上传附件类型的规则：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A、申请绿卡类型只有主卡时，必须上传名称为“（主卡）XXX”的所有附件类型；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B、申请绿卡类型只有副卡时，必须上传名称为“（副卡）XXX”的所有附件类型；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C、申请绿卡类型有主卡及副卡时，必须上传名称为“（主卡）XXX”和“（副卡）XXX”的所有附件类型。</w:t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5302250" cy="2164715"/>
            <wp:effectExtent l="0" t="0" r="1270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left="94" w:leftChars="45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（2）选择附件类型后，输入“记录顺序号”，点浏览，选择需要上传的附件。</w:t>
      </w:r>
    </w:p>
    <w:p>
      <w:pPr>
        <w:tabs>
          <w:tab w:val="left" w:pos="142"/>
        </w:tabs>
        <w:ind w:left="141"/>
        <w:jc w:val="center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114300" distR="114300">
            <wp:extent cx="4659630" cy="3877310"/>
            <wp:effectExtent l="0" t="0" r="762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（3）选择上传的附件后，点“上传”，即可上传成功。</w:t>
      </w:r>
    </w:p>
    <w:p>
      <w:pPr>
        <w:tabs>
          <w:tab w:val="left" w:pos="142"/>
        </w:tabs>
        <w:ind w:left="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4011930" cy="4225290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422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8、完成送审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tabs>
          <w:tab w:val="left" w:pos="142"/>
        </w:tabs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填写完毕后点送审，即可将业务送审至窗口，可以查看业务的审核状态，及证件的办理情况，如下图所示。</w:t>
      </w:r>
    </w:p>
    <w:p>
      <w:pPr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502910" cy="1827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rPr>
          <w:rFonts w:ascii="Times New Roman" w:hAnsi="Times New Roman"/>
          <w:b w:val="0"/>
          <w:kern w:val="0"/>
        </w:rPr>
      </w:pPr>
      <w:r>
        <w:rPr>
          <w:rFonts w:ascii="Times New Roman" w:hAnsi="Times New Roman"/>
          <w:b w:val="0"/>
          <w:kern w:val="0"/>
        </w:rPr>
        <w:t>技术支持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广州市人力资源和社会保障信息中心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技术服务电话：83126088    传真号码：83557984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对外客服邮箱：hrssgz@gzpi.gov.cn</w:t>
      </w:r>
    </w:p>
    <w:p>
      <w:pPr>
        <w:spacing w:line="600" w:lineRule="exact"/>
        <w:rPr>
          <w:rFonts w:ascii="Times New Roman" w:hAnsi="Times New Roman"/>
          <w:szCs w:val="32"/>
        </w:rPr>
      </w:pPr>
    </w:p>
    <w:p>
      <w:pPr>
        <w:spacing w:line="600" w:lineRule="exact"/>
        <w:jc w:val="center"/>
        <w:rPr>
          <w:rFonts w:ascii="Times New Roman" w:hAnsi="Times New Roman" w:eastAsia="方正大标宋简体"/>
          <w:color w:val="FF0000"/>
          <w:kern w:val="0"/>
          <w:sz w:val="72"/>
          <w:szCs w:val="72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C2510"/>
    <w:multiLevelType w:val="multilevel"/>
    <w:tmpl w:val="5D7C251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 w:cs="Times New Roman"/>
      </w:rPr>
    </w:lvl>
    <w:lvl w:ilvl="1" w:tentative="0">
      <w:start w:val="1"/>
      <w:numFmt w:val="chineseCountingThousand"/>
      <w:lvlText w:val="(%2)、"/>
      <w:lvlJc w:val="left"/>
      <w:pPr>
        <w:tabs>
          <w:tab w:val="left" w:pos="840"/>
        </w:tabs>
        <w:ind w:left="840" w:hanging="42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76D69"/>
    <w:rsid w:val="4D476D6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2016-11-09T01:54:00Z</dcterms:created>
  <dc:creator>Administrator</dc:creator>
  <cp:lastModifiedBy>Administrator</cp:lastModifiedBy>
  <dcterms:modified xsi:type="dcterms:W3CDTF">2016-11-09T01:55:15Z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