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5AF" w:rsidRDefault="001215AF" w:rsidP="001215AF">
      <w:pPr>
        <w:widowControl w:val="0"/>
        <w:autoSpaceDE w:val="0"/>
        <w:autoSpaceDN w:val="0"/>
        <w:snapToGrid/>
        <w:spacing w:after="0"/>
        <w:jc w:val="center"/>
        <w:rPr>
          <w:rFonts w:ascii="宋体" w:eastAsia="宋体" w:hAnsi="Calibri" w:cs="宋体"/>
          <w:b/>
          <w:bCs/>
          <w:sz w:val="28"/>
          <w:szCs w:val="28"/>
        </w:rPr>
      </w:pPr>
      <w:r>
        <w:rPr>
          <w:rFonts w:ascii="宋体" w:eastAsia="宋体" w:hAnsi="Calibri" w:cs="宋体" w:hint="eastAsia"/>
          <w:b/>
          <w:bCs/>
          <w:sz w:val="28"/>
          <w:szCs w:val="28"/>
        </w:rPr>
        <w:t>附件3.</w:t>
      </w:r>
      <w:r>
        <w:rPr>
          <w:rFonts w:ascii="宋体" w:eastAsia="宋体" w:hAnsi="Calibri" w:cs="宋体"/>
          <w:b/>
          <w:bCs/>
          <w:sz w:val="28"/>
          <w:szCs w:val="28"/>
        </w:rPr>
        <w:t>《国家学生体质健康标准（2014年修订）》大学部分</w:t>
      </w:r>
    </w:p>
    <w:p w:rsidR="001215AF" w:rsidRDefault="001215AF" w:rsidP="001215AF">
      <w:pPr>
        <w:spacing w:after="0" w:line="520" w:lineRule="exact"/>
        <w:ind w:firstLineChars="183" w:firstLine="441"/>
        <w:rPr>
          <w:rFonts w:ascii="宋体" w:eastAsia="宋体" w:hAnsi="宋体" w:cs="宋体"/>
          <w:b/>
          <w:color w:val="000000"/>
          <w:sz w:val="24"/>
          <w:szCs w:val="24"/>
        </w:rPr>
      </w:pPr>
      <w:r>
        <w:rPr>
          <w:rFonts w:ascii="宋体" w:eastAsia="宋体" w:hAnsi="宋体" w:cs="宋体" w:hint="eastAsia"/>
          <w:b/>
          <w:color w:val="000000"/>
          <w:sz w:val="24"/>
          <w:szCs w:val="24"/>
        </w:rPr>
        <w:t>一、说明</w:t>
      </w:r>
      <w:bookmarkStart w:id="0" w:name="_GoBack"/>
      <w:bookmarkEnd w:id="0"/>
    </w:p>
    <w:p w:rsidR="001215AF" w:rsidRDefault="001215AF" w:rsidP="001215AF">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1.《国家学生体质健康标准》（以下简称《标准》）是国家学校教育工作的基础性指导文件和教育质量基本标准，是评价学生综合素质、评估学校工作和衡量各地教育发展的重要依据，是《国家体育锻炼标准》在学校的具体实施，适用于全日制普通小学、初中、普通高中、中等职业学校、普通高等学校的学生。</w:t>
      </w:r>
    </w:p>
    <w:p w:rsidR="001215AF" w:rsidRDefault="001215AF" w:rsidP="001215AF">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2.本标准的修订坚持健康第一，落实《国家中长期教育改革和发展规划纲要（2010-2020年）》、《国务院办公厅转发教育部等部门关于进一步加强学校体育工作若干意见的通知》（国办发〔2012〕53号）和《教育部关于印发〈学生体质健康监测评价办法〉等三个文件的通知》（教体艺〔2014〕3号）有关要求，着重提高《标准》应用的信度、效度和区分度，着重强化其教育激励、反馈调整和引导锻炼的功能，着重提高其教育监测和绩效评价的支撑能力。</w:t>
      </w:r>
    </w:p>
    <w:p w:rsidR="001215AF" w:rsidRDefault="001215AF" w:rsidP="001215AF">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3.本标准从身体形态、身体机能和身体素质等方面综合评定学生的体质健康水平，是促进学生体质健康发展、激励学生积极进行身体锻炼的教育手段，是国家学生发展核心素养体系和学业质量标准的重要组成部分，是学生体质健康的个体评价标准。</w:t>
      </w:r>
    </w:p>
    <w:p w:rsidR="001215AF" w:rsidRDefault="001215AF" w:rsidP="001215AF">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4.本标准将适用对象划分为以下组别：小学、初中、高中按每个年级为一组，其中小学为6组、初中为3组、高中为3组。大学一、二年级为一组，三、四年级为一组。</w:t>
      </w:r>
    </w:p>
    <w:p w:rsidR="001215AF" w:rsidRDefault="001215AF" w:rsidP="001215AF">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5．小学、初中、高中、大学各组别的测试指标均为必测指标。其中，身体形态类中的身高、体重，身体机能类中的肺活量，以及身体素质类中的50米跑、坐位体前屈为各年级学生共性指标。</w:t>
      </w:r>
    </w:p>
    <w:p w:rsidR="001215AF" w:rsidRDefault="001215AF" w:rsidP="001215AF">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6．本标准的学年总分由标准分与附加分之和构成，满分为120分。标准分由各单项指标得分与权重乘积之和组成，满分为100分。附加分根据实测成绩确定，即对成绩超过100分的加分指标进行加分，满分为20分；小学的加分指标为1</w:t>
      </w:r>
      <w:r>
        <w:rPr>
          <w:rFonts w:ascii="宋体" w:eastAsia="宋体" w:hAnsi="宋体" w:cs="宋体" w:hint="eastAsia"/>
          <w:bCs/>
          <w:color w:val="000000"/>
          <w:sz w:val="24"/>
          <w:szCs w:val="24"/>
        </w:rPr>
        <w:lastRenderedPageBreak/>
        <w:t>分钟跳绳，加分幅度为20分；初中、高中和大学的加分指标为男生引体向上和1000米跑，女生1分钟仰卧起坐和800米跑，各指标加分幅度均为10分。</w:t>
      </w:r>
    </w:p>
    <w:p w:rsidR="001215AF" w:rsidRDefault="001215AF" w:rsidP="001215AF">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7．根据学生学年总分评定等级：90.0分及以上为优秀，80.0～89.9分为良好，60.0～79.9分为及格，59.9分及以下为不及格。</w:t>
      </w:r>
    </w:p>
    <w:p w:rsidR="001215AF" w:rsidRDefault="001215AF" w:rsidP="001215AF">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8．每个学生每学年评定一次，记入《〈国家学生体质健康标准〉登记卡》（附表1～6）。特殊学制的学校，在填写登记卡时可以按规定和需求相应地增减栏目。学生毕业时的成绩和等级，按毕业当年学年总分的50%与其他学年总分平均得分的50%之和进行评定。</w:t>
      </w:r>
    </w:p>
    <w:p w:rsidR="001215AF" w:rsidRDefault="001215AF" w:rsidP="001215AF">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9．学生测试成绩评定达到良好及以上者，方可参加评优与评奖；成绩达到优秀者，方可获体育奖学分。测试成绩评定不及格者，在本学年度准予补测一次，补测仍不及格，则学年成绩评定为不及格。普通高中、中等职业学校和普通高等学校学生毕业时，《标准》测试的成绩达不到50分者按结业或肄业处理。</w:t>
      </w:r>
    </w:p>
    <w:p w:rsidR="001215AF" w:rsidRDefault="001215AF" w:rsidP="001215AF">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10．学生因病或残疾可向学校提交暂缓或免予执行《标准》的申请，经医疗单位证明，体育教学部门核准，可暂缓或免予执行《标准》，并填写《免予执行&lt;国家学生体质健康标准&gt;申请表》（附表7），存入学生档案。确实丧失运动能力、被免予执行《标准》的残疾学生，仍可参加评优与评奖，毕业时《标准》成绩需注明免测。</w:t>
      </w:r>
    </w:p>
    <w:p w:rsidR="001215AF" w:rsidRDefault="001215AF" w:rsidP="001215AF">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11．各学校每学年开展覆盖本校各年级学生的《标准》测试工作，《标准》测试数据经当地教育行政部门按要求审核后，通过“中国学生体质健康网”上传至“国家学生体质健康标准数据管理系统”。测试和数据上传时间由教育行政部门确定。</w:t>
      </w:r>
    </w:p>
    <w:p w:rsidR="001215AF" w:rsidRDefault="001215AF" w:rsidP="001215AF">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12．本标准由教育部负责解释。</w:t>
      </w:r>
    </w:p>
    <w:p w:rsidR="001215AF" w:rsidRDefault="001215AF" w:rsidP="001215AF">
      <w:pPr>
        <w:spacing w:after="0" w:line="520" w:lineRule="exact"/>
        <w:ind w:firstLineChars="183" w:firstLine="588"/>
        <w:rPr>
          <w:rFonts w:ascii="仿宋_GB2312" w:eastAsia="仿宋_GB2312" w:hAnsi="仿宋"/>
          <w:b/>
          <w:bCs/>
          <w:sz w:val="32"/>
          <w:szCs w:val="32"/>
        </w:rPr>
      </w:pPr>
    </w:p>
    <w:p w:rsidR="001215AF" w:rsidRDefault="001215AF" w:rsidP="001215AF">
      <w:pPr>
        <w:widowControl w:val="0"/>
        <w:autoSpaceDE w:val="0"/>
        <w:autoSpaceDN w:val="0"/>
        <w:snapToGrid/>
        <w:spacing w:after="0"/>
        <w:rPr>
          <w:rFonts w:ascii="宋体" w:eastAsia="宋体" w:hAnsi="Calibri" w:cs="宋体"/>
          <w:b/>
          <w:bCs/>
          <w:sz w:val="28"/>
          <w:szCs w:val="28"/>
        </w:rPr>
      </w:pPr>
      <w:r>
        <w:rPr>
          <w:rFonts w:ascii="宋体" w:eastAsia="宋体" w:hAnsi="Calibri" w:cs="宋体" w:hint="eastAsia"/>
          <w:b/>
          <w:bCs/>
          <w:sz w:val="28"/>
          <w:szCs w:val="28"/>
        </w:rPr>
        <w:t>二、单项指标与权重</w:t>
      </w:r>
    </w:p>
    <w:tbl>
      <w:tblPr>
        <w:tblW w:w="5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1701"/>
      </w:tblGrid>
      <w:tr w:rsidR="001215AF" w:rsidTr="004C763B">
        <w:trPr>
          <w:trHeight w:val="454"/>
          <w:jc w:val="center"/>
        </w:trPr>
        <w:tc>
          <w:tcPr>
            <w:tcW w:w="4077" w:type="dxa"/>
            <w:vAlign w:val="center"/>
          </w:tcPr>
          <w:p w:rsidR="001215AF" w:rsidRPr="000D076E" w:rsidRDefault="001215AF" w:rsidP="004C763B">
            <w:pPr>
              <w:jc w:val="center"/>
              <w:rPr>
                <w:rFonts w:ascii="宋体" w:eastAsia="宋体" w:hAnsi="宋体" w:cs="宋体"/>
                <w:b/>
                <w:sz w:val="24"/>
              </w:rPr>
            </w:pPr>
            <w:r w:rsidRPr="000D076E">
              <w:rPr>
                <w:rFonts w:ascii="宋体" w:eastAsia="宋体" w:hAnsi="宋体" w:cs="宋体" w:hint="eastAsia"/>
                <w:b/>
                <w:sz w:val="24"/>
              </w:rPr>
              <w:t>单项指标</w:t>
            </w:r>
          </w:p>
        </w:tc>
        <w:tc>
          <w:tcPr>
            <w:tcW w:w="1701" w:type="dxa"/>
            <w:vAlign w:val="center"/>
          </w:tcPr>
          <w:p w:rsidR="001215AF" w:rsidRPr="000D076E" w:rsidRDefault="001215AF" w:rsidP="004C763B">
            <w:pPr>
              <w:jc w:val="center"/>
              <w:rPr>
                <w:rFonts w:ascii="宋体" w:eastAsia="宋体" w:hAnsi="宋体" w:cs="宋体"/>
                <w:b/>
                <w:sz w:val="24"/>
              </w:rPr>
            </w:pPr>
            <w:r w:rsidRPr="000D076E">
              <w:rPr>
                <w:rFonts w:ascii="宋体" w:eastAsia="宋体" w:hAnsi="宋体" w:cs="宋体" w:hint="eastAsia"/>
                <w:b/>
                <w:sz w:val="24"/>
              </w:rPr>
              <w:t>权重（%）</w:t>
            </w:r>
          </w:p>
        </w:tc>
      </w:tr>
      <w:tr w:rsidR="001215AF" w:rsidTr="004C763B">
        <w:trPr>
          <w:trHeight w:val="454"/>
          <w:jc w:val="center"/>
        </w:trPr>
        <w:tc>
          <w:tcPr>
            <w:tcW w:w="4077" w:type="dxa"/>
            <w:vAlign w:val="center"/>
          </w:tcPr>
          <w:p w:rsidR="001215AF" w:rsidRPr="000D076E" w:rsidRDefault="001215AF" w:rsidP="004C763B">
            <w:pPr>
              <w:jc w:val="center"/>
              <w:rPr>
                <w:rFonts w:ascii="宋体" w:eastAsia="宋体" w:hAnsi="宋体" w:cs="宋体"/>
                <w:sz w:val="24"/>
              </w:rPr>
            </w:pPr>
            <w:r w:rsidRPr="000D076E">
              <w:rPr>
                <w:rFonts w:ascii="宋体" w:eastAsia="宋体" w:hAnsi="宋体" w:cs="宋体" w:hint="eastAsia"/>
                <w:sz w:val="24"/>
              </w:rPr>
              <w:lastRenderedPageBreak/>
              <w:t>体重指数（BMI）</w:t>
            </w:r>
          </w:p>
        </w:tc>
        <w:tc>
          <w:tcPr>
            <w:tcW w:w="1701" w:type="dxa"/>
            <w:vAlign w:val="center"/>
          </w:tcPr>
          <w:p w:rsidR="001215AF" w:rsidRPr="000D076E" w:rsidRDefault="001215AF" w:rsidP="004C763B">
            <w:pPr>
              <w:jc w:val="center"/>
              <w:rPr>
                <w:rFonts w:ascii="宋体" w:eastAsia="宋体" w:hAnsi="宋体" w:cs="宋体"/>
                <w:sz w:val="24"/>
              </w:rPr>
            </w:pPr>
            <w:r w:rsidRPr="000D076E">
              <w:rPr>
                <w:rFonts w:ascii="宋体" w:eastAsia="宋体" w:hAnsi="宋体" w:cs="宋体" w:hint="eastAsia"/>
                <w:sz w:val="24"/>
              </w:rPr>
              <w:t>15</w:t>
            </w:r>
          </w:p>
        </w:tc>
      </w:tr>
      <w:tr w:rsidR="001215AF" w:rsidTr="004C763B">
        <w:trPr>
          <w:trHeight w:val="454"/>
          <w:jc w:val="center"/>
        </w:trPr>
        <w:tc>
          <w:tcPr>
            <w:tcW w:w="4077" w:type="dxa"/>
            <w:vAlign w:val="center"/>
          </w:tcPr>
          <w:p w:rsidR="001215AF" w:rsidRPr="000D076E" w:rsidRDefault="001215AF" w:rsidP="004C763B">
            <w:pPr>
              <w:jc w:val="center"/>
              <w:rPr>
                <w:rFonts w:ascii="宋体" w:eastAsia="宋体" w:hAnsi="宋体" w:cs="宋体"/>
                <w:sz w:val="24"/>
              </w:rPr>
            </w:pPr>
            <w:r w:rsidRPr="000D076E">
              <w:rPr>
                <w:rFonts w:ascii="宋体" w:eastAsia="宋体" w:hAnsi="宋体" w:cs="宋体" w:hint="eastAsia"/>
                <w:sz w:val="24"/>
              </w:rPr>
              <w:t>肺活量</w:t>
            </w:r>
          </w:p>
        </w:tc>
        <w:tc>
          <w:tcPr>
            <w:tcW w:w="1701" w:type="dxa"/>
            <w:vAlign w:val="center"/>
          </w:tcPr>
          <w:p w:rsidR="001215AF" w:rsidRPr="000D076E" w:rsidRDefault="001215AF" w:rsidP="004C763B">
            <w:pPr>
              <w:jc w:val="center"/>
              <w:rPr>
                <w:rFonts w:ascii="宋体" w:eastAsia="宋体" w:hAnsi="宋体" w:cs="宋体"/>
                <w:sz w:val="24"/>
              </w:rPr>
            </w:pPr>
            <w:r w:rsidRPr="000D076E">
              <w:rPr>
                <w:rFonts w:ascii="宋体" w:eastAsia="宋体" w:hAnsi="宋体" w:cs="宋体" w:hint="eastAsia"/>
                <w:sz w:val="24"/>
              </w:rPr>
              <w:t>15</w:t>
            </w:r>
          </w:p>
        </w:tc>
      </w:tr>
      <w:tr w:rsidR="001215AF" w:rsidTr="004C763B">
        <w:trPr>
          <w:trHeight w:val="454"/>
          <w:jc w:val="center"/>
        </w:trPr>
        <w:tc>
          <w:tcPr>
            <w:tcW w:w="4077" w:type="dxa"/>
            <w:vAlign w:val="center"/>
          </w:tcPr>
          <w:p w:rsidR="001215AF" w:rsidRPr="000D076E" w:rsidRDefault="001215AF" w:rsidP="004C763B">
            <w:pPr>
              <w:jc w:val="center"/>
              <w:rPr>
                <w:rFonts w:ascii="宋体" w:eastAsia="宋体" w:hAnsi="宋体" w:cs="宋体"/>
                <w:sz w:val="24"/>
              </w:rPr>
            </w:pPr>
            <w:r w:rsidRPr="000D076E">
              <w:rPr>
                <w:rFonts w:ascii="宋体" w:eastAsia="宋体" w:hAnsi="宋体" w:cs="宋体" w:hint="eastAsia"/>
                <w:sz w:val="24"/>
              </w:rPr>
              <w:t>50米跑</w:t>
            </w:r>
          </w:p>
        </w:tc>
        <w:tc>
          <w:tcPr>
            <w:tcW w:w="1701" w:type="dxa"/>
            <w:vAlign w:val="center"/>
          </w:tcPr>
          <w:p w:rsidR="001215AF" w:rsidRPr="000D076E" w:rsidRDefault="001215AF" w:rsidP="004C763B">
            <w:pPr>
              <w:jc w:val="center"/>
              <w:rPr>
                <w:rFonts w:ascii="宋体" w:eastAsia="宋体" w:hAnsi="宋体" w:cs="宋体"/>
                <w:sz w:val="24"/>
              </w:rPr>
            </w:pPr>
            <w:r w:rsidRPr="000D076E">
              <w:rPr>
                <w:rFonts w:ascii="宋体" w:eastAsia="宋体" w:hAnsi="宋体" w:cs="宋体" w:hint="eastAsia"/>
                <w:sz w:val="24"/>
              </w:rPr>
              <w:t>20</w:t>
            </w:r>
          </w:p>
        </w:tc>
      </w:tr>
      <w:tr w:rsidR="001215AF" w:rsidTr="004C763B">
        <w:trPr>
          <w:trHeight w:val="454"/>
          <w:jc w:val="center"/>
        </w:trPr>
        <w:tc>
          <w:tcPr>
            <w:tcW w:w="4077" w:type="dxa"/>
            <w:vAlign w:val="center"/>
          </w:tcPr>
          <w:p w:rsidR="001215AF" w:rsidRPr="000D076E" w:rsidRDefault="001215AF" w:rsidP="004C763B">
            <w:pPr>
              <w:jc w:val="center"/>
              <w:rPr>
                <w:rFonts w:ascii="宋体" w:eastAsia="宋体" w:hAnsi="宋体" w:cs="宋体"/>
                <w:sz w:val="24"/>
              </w:rPr>
            </w:pPr>
            <w:r w:rsidRPr="000D076E">
              <w:rPr>
                <w:rFonts w:ascii="宋体" w:eastAsia="宋体" w:hAnsi="宋体" w:cs="宋体" w:hint="eastAsia"/>
                <w:sz w:val="24"/>
              </w:rPr>
              <w:t>立定跳远</w:t>
            </w:r>
          </w:p>
        </w:tc>
        <w:tc>
          <w:tcPr>
            <w:tcW w:w="1701" w:type="dxa"/>
            <w:vAlign w:val="center"/>
          </w:tcPr>
          <w:p w:rsidR="001215AF" w:rsidRPr="000D076E" w:rsidRDefault="001215AF" w:rsidP="004C763B">
            <w:pPr>
              <w:jc w:val="center"/>
              <w:rPr>
                <w:rFonts w:ascii="宋体" w:eastAsia="宋体" w:hAnsi="宋体" w:cs="宋体"/>
                <w:sz w:val="24"/>
              </w:rPr>
            </w:pPr>
            <w:r w:rsidRPr="000D076E">
              <w:rPr>
                <w:rFonts w:ascii="宋体" w:eastAsia="宋体" w:hAnsi="宋体" w:cs="宋体" w:hint="eastAsia"/>
                <w:sz w:val="24"/>
              </w:rPr>
              <w:t>10</w:t>
            </w:r>
          </w:p>
        </w:tc>
      </w:tr>
      <w:tr w:rsidR="001215AF" w:rsidTr="004C763B">
        <w:trPr>
          <w:trHeight w:val="454"/>
          <w:jc w:val="center"/>
        </w:trPr>
        <w:tc>
          <w:tcPr>
            <w:tcW w:w="4077" w:type="dxa"/>
            <w:vAlign w:val="center"/>
          </w:tcPr>
          <w:p w:rsidR="001215AF" w:rsidRPr="000D076E" w:rsidRDefault="001215AF" w:rsidP="004C763B">
            <w:pPr>
              <w:jc w:val="center"/>
              <w:rPr>
                <w:rFonts w:ascii="宋体" w:eastAsia="宋体" w:hAnsi="宋体" w:cs="宋体"/>
                <w:sz w:val="24"/>
              </w:rPr>
            </w:pPr>
            <w:r w:rsidRPr="000D076E">
              <w:rPr>
                <w:rFonts w:ascii="宋体" w:eastAsia="宋体" w:hAnsi="宋体" w:cs="宋体" w:hint="eastAsia"/>
                <w:sz w:val="24"/>
              </w:rPr>
              <w:t>坐位体前屈</w:t>
            </w:r>
          </w:p>
        </w:tc>
        <w:tc>
          <w:tcPr>
            <w:tcW w:w="1701" w:type="dxa"/>
            <w:vAlign w:val="center"/>
          </w:tcPr>
          <w:p w:rsidR="001215AF" w:rsidRPr="000D076E" w:rsidRDefault="001215AF" w:rsidP="004C763B">
            <w:pPr>
              <w:jc w:val="center"/>
              <w:rPr>
                <w:rFonts w:ascii="宋体" w:eastAsia="宋体" w:hAnsi="宋体" w:cs="宋体"/>
                <w:sz w:val="24"/>
              </w:rPr>
            </w:pPr>
            <w:r w:rsidRPr="000D076E">
              <w:rPr>
                <w:rFonts w:ascii="宋体" w:eastAsia="宋体" w:hAnsi="宋体" w:cs="宋体" w:hint="eastAsia"/>
                <w:sz w:val="24"/>
              </w:rPr>
              <w:t>10</w:t>
            </w:r>
          </w:p>
        </w:tc>
      </w:tr>
      <w:tr w:rsidR="001215AF" w:rsidTr="004C763B">
        <w:trPr>
          <w:trHeight w:val="454"/>
          <w:jc w:val="center"/>
        </w:trPr>
        <w:tc>
          <w:tcPr>
            <w:tcW w:w="4077" w:type="dxa"/>
            <w:vAlign w:val="center"/>
          </w:tcPr>
          <w:p w:rsidR="001215AF" w:rsidRPr="000D076E" w:rsidRDefault="001215AF" w:rsidP="004C763B">
            <w:pPr>
              <w:jc w:val="center"/>
              <w:rPr>
                <w:rFonts w:ascii="宋体" w:eastAsia="宋体" w:hAnsi="宋体" w:cs="宋体"/>
                <w:sz w:val="24"/>
              </w:rPr>
            </w:pPr>
            <w:r w:rsidRPr="000D076E">
              <w:rPr>
                <w:rFonts w:ascii="宋体" w:eastAsia="宋体" w:hAnsi="宋体" w:cs="宋体" w:hint="eastAsia"/>
                <w:sz w:val="24"/>
              </w:rPr>
              <w:t>引体向上/仰卧起坐</w:t>
            </w:r>
          </w:p>
        </w:tc>
        <w:tc>
          <w:tcPr>
            <w:tcW w:w="1701" w:type="dxa"/>
            <w:vAlign w:val="center"/>
          </w:tcPr>
          <w:p w:rsidR="001215AF" w:rsidRPr="000D076E" w:rsidRDefault="001215AF" w:rsidP="004C763B">
            <w:pPr>
              <w:jc w:val="center"/>
              <w:rPr>
                <w:rFonts w:ascii="宋体" w:eastAsia="宋体" w:hAnsi="宋体" w:cs="宋体"/>
                <w:sz w:val="24"/>
              </w:rPr>
            </w:pPr>
            <w:r w:rsidRPr="000D076E">
              <w:rPr>
                <w:rFonts w:ascii="宋体" w:eastAsia="宋体" w:hAnsi="宋体" w:cs="宋体" w:hint="eastAsia"/>
                <w:sz w:val="24"/>
              </w:rPr>
              <w:t>10</w:t>
            </w:r>
          </w:p>
        </w:tc>
      </w:tr>
      <w:tr w:rsidR="001215AF" w:rsidTr="004C763B">
        <w:trPr>
          <w:trHeight w:val="454"/>
          <w:jc w:val="center"/>
        </w:trPr>
        <w:tc>
          <w:tcPr>
            <w:tcW w:w="4077" w:type="dxa"/>
            <w:vAlign w:val="center"/>
          </w:tcPr>
          <w:p w:rsidR="001215AF" w:rsidRPr="000D076E" w:rsidRDefault="001215AF" w:rsidP="004C763B">
            <w:pPr>
              <w:jc w:val="center"/>
              <w:rPr>
                <w:rFonts w:ascii="宋体" w:eastAsia="宋体" w:hAnsi="宋体" w:cs="宋体"/>
                <w:sz w:val="24"/>
              </w:rPr>
            </w:pPr>
            <w:r w:rsidRPr="000D076E">
              <w:rPr>
                <w:rFonts w:ascii="宋体" w:eastAsia="宋体" w:hAnsi="宋体" w:cs="宋体" w:hint="eastAsia"/>
                <w:sz w:val="24"/>
              </w:rPr>
              <w:t>800/1000米</w:t>
            </w:r>
          </w:p>
        </w:tc>
        <w:tc>
          <w:tcPr>
            <w:tcW w:w="1701" w:type="dxa"/>
            <w:vAlign w:val="center"/>
          </w:tcPr>
          <w:p w:rsidR="001215AF" w:rsidRPr="000D076E" w:rsidRDefault="001215AF" w:rsidP="004C763B">
            <w:pPr>
              <w:jc w:val="center"/>
              <w:rPr>
                <w:rFonts w:ascii="宋体" w:eastAsia="宋体" w:hAnsi="宋体" w:cs="宋体"/>
                <w:sz w:val="24"/>
              </w:rPr>
            </w:pPr>
            <w:r w:rsidRPr="000D076E">
              <w:rPr>
                <w:rFonts w:ascii="宋体" w:eastAsia="宋体" w:hAnsi="宋体" w:cs="宋体" w:hint="eastAsia"/>
                <w:sz w:val="24"/>
              </w:rPr>
              <w:t>20</w:t>
            </w:r>
          </w:p>
        </w:tc>
      </w:tr>
    </w:tbl>
    <w:p w:rsidR="001215AF" w:rsidRDefault="001215AF" w:rsidP="001215AF">
      <w:pPr>
        <w:ind w:firstLineChars="150" w:firstLine="360"/>
        <w:rPr>
          <w:rFonts w:ascii="宋体" w:hAnsi="宋体" w:cs="Tahoma"/>
          <w:sz w:val="24"/>
        </w:rPr>
      </w:pPr>
    </w:p>
    <w:p w:rsidR="001215AF" w:rsidRDefault="001215AF" w:rsidP="001215AF">
      <w:pPr>
        <w:jc w:val="center"/>
        <w:rPr>
          <w:rFonts w:ascii="宋体" w:eastAsia="宋体" w:hAnsi="宋体" w:cs="宋体"/>
          <w:sz w:val="24"/>
        </w:rPr>
      </w:pPr>
      <w:r>
        <w:rPr>
          <w:rFonts w:ascii="宋体" w:eastAsia="宋体" w:hAnsi="宋体" w:cs="宋体" w:hint="eastAsia"/>
          <w:sz w:val="24"/>
        </w:rPr>
        <w:t>体重指数【BMI=体重（千克）/身高2（米）2】评分表</w:t>
      </w:r>
    </w:p>
    <w:p w:rsidR="001215AF" w:rsidRDefault="001215AF" w:rsidP="001215AF">
      <w:pPr>
        <w:widowControl w:val="0"/>
        <w:autoSpaceDE w:val="0"/>
        <w:autoSpaceDN w:val="0"/>
        <w:snapToGrid/>
        <w:spacing w:after="0"/>
        <w:rPr>
          <w:rFonts w:ascii="宋体" w:eastAsia="宋体" w:hAnsi="宋体" w:cs="宋体"/>
          <w:b/>
          <w:bCs/>
          <w:sz w:val="28"/>
          <w:szCs w:val="28"/>
        </w:rPr>
      </w:pPr>
      <w:r>
        <w:rPr>
          <w:rFonts w:ascii="宋体" w:eastAsia="宋体" w:hAnsi="宋体" w:cs="宋体" w:hint="eastAsia"/>
          <w:b/>
          <w:bCs/>
          <w:sz w:val="28"/>
          <w:szCs w:val="28"/>
        </w:rPr>
        <w:t>三、评分表</w:t>
      </w:r>
    </w:p>
    <w:p w:rsidR="001215AF" w:rsidRDefault="001215AF" w:rsidP="001215AF">
      <w:pPr>
        <w:ind w:firstLineChars="150" w:firstLine="360"/>
        <w:rPr>
          <w:rFonts w:ascii="宋体" w:eastAsia="宋体" w:hAnsi="宋体" w:cs="宋体"/>
          <w:sz w:val="24"/>
        </w:rPr>
      </w:pPr>
    </w:p>
    <w:p w:rsidR="001215AF" w:rsidRDefault="001215AF" w:rsidP="001215AF">
      <w:pPr>
        <w:ind w:firstLineChars="150" w:firstLine="360"/>
        <w:rPr>
          <w:rFonts w:ascii="宋体" w:eastAsia="宋体" w:hAnsi="宋体" w:cs="宋体"/>
          <w:sz w:val="24"/>
        </w:rPr>
      </w:pPr>
      <w:r>
        <w:rPr>
          <w:rFonts w:ascii="宋体" w:eastAsia="宋体" w:hAnsi="宋体" w:cs="宋体" w:hint="eastAsia"/>
          <w:sz w:val="24"/>
        </w:rPr>
        <w:t>体重指数【BMI=体重（千克）/身高</w:t>
      </w:r>
      <w:r>
        <w:rPr>
          <w:rFonts w:ascii="宋体" w:eastAsia="宋体" w:hAnsi="宋体" w:cs="宋体" w:hint="eastAsia"/>
          <w:sz w:val="24"/>
          <w:vertAlign w:val="superscript"/>
        </w:rPr>
        <w:t>2</w:t>
      </w:r>
      <w:r>
        <w:rPr>
          <w:rFonts w:ascii="宋体" w:eastAsia="宋体" w:hAnsi="宋体" w:cs="宋体" w:hint="eastAsia"/>
          <w:sz w:val="24"/>
        </w:rPr>
        <w:t>（米）</w:t>
      </w:r>
      <w:r>
        <w:rPr>
          <w:rFonts w:ascii="宋体" w:eastAsia="宋体" w:hAnsi="宋体" w:cs="宋体" w:hint="eastAsia"/>
          <w:sz w:val="24"/>
          <w:vertAlign w:val="superscript"/>
        </w:rPr>
        <w:t>2</w:t>
      </w:r>
      <w:r>
        <w:rPr>
          <w:rFonts w:ascii="宋体" w:eastAsia="宋体" w:hAnsi="宋体" w:cs="宋体" w:hint="eastAsia"/>
          <w:sz w:val="24"/>
        </w:rPr>
        <w:t>】评分表</w:t>
      </w:r>
    </w:p>
    <w:tbl>
      <w:tblPr>
        <w:tblW w:w="709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40"/>
        <w:gridCol w:w="1585"/>
        <w:gridCol w:w="2010"/>
        <w:gridCol w:w="1455"/>
      </w:tblGrid>
      <w:tr w:rsidR="001215AF" w:rsidTr="004C763B">
        <w:trPr>
          <w:trHeight w:val="317"/>
          <w:jc w:val="center"/>
        </w:trPr>
        <w:tc>
          <w:tcPr>
            <w:tcW w:w="2040" w:type="dxa"/>
            <w:vAlign w:val="center"/>
          </w:tcPr>
          <w:p w:rsidR="001215AF" w:rsidRDefault="001215AF" w:rsidP="004C763B">
            <w:pPr>
              <w:jc w:val="center"/>
              <w:rPr>
                <w:rFonts w:ascii="宋体" w:eastAsia="宋体" w:hAnsi="宋体" w:cs="宋体"/>
                <w:sz w:val="24"/>
              </w:rPr>
            </w:pPr>
            <w:r>
              <w:rPr>
                <w:rFonts w:ascii="宋体" w:eastAsia="宋体" w:hAnsi="宋体" w:cs="宋体" w:hint="eastAsia"/>
                <w:sz w:val="24"/>
              </w:rPr>
              <w:t>等级</w:t>
            </w:r>
          </w:p>
        </w:tc>
        <w:tc>
          <w:tcPr>
            <w:tcW w:w="1585" w:type="dxa"/>
            <w:vAlign w:val="center"/>
          </w:tcPr>
          <w:p w:rsidR="001215AF" w:rsidRDefault="001215AF" w:rsidP="004C763B">
            <w:pPr>
              <w:jc w:val="center"/>
              <w:rPr>
                <w:rFonts w:ascii="宋体" w:eastAsia="宋体" w:hAnsi="宋体" w:cs="宋体"/>
                <w:sz w:val="24"/>
              </w:rPr>
            </w:pPr>
            <w:r>
              <w:rPr>
                <w:rFonts w:ascii="宋体" w:eastAsia="宋体" w:hAnsi="宋体" w:cs="宋体" w:hint="eastAsia"/>
                <w:sz w:val="24"/>
              </w:rPr>
              <w:t>得分</w:t>
            </w:r>
          </w:p>
        </w:tc>
        <w:tc>
          <w:tcPr>
            <w:tcW w:w="2010" w:type="dxa"/>
            <w:vAlign w:val="center"/>
          </w:tcPr>
          <w:p w:rsidR="001215AF" w:rsidRDefault="001215AF" w:rsidP="004C763B">
            <w:pPr>
              <w:jc w:val="center"/>
              <w:rPr>
                <w:rFonts w:ascii="宋体" w:eastAsia="宋体" w:hAnsi="宋体" w:cs="宋体"/>
                <w:sz w:val="24"/>
              </w:rPr>
            </w:pPr>
            <w:r>
              <w:rPr>
                <w:rFonts w:ascii="宋体" w:eastAsia="宋体" w:hAnsi="宋体" w:cs="宋体" w:hint="eastAsia"/>
                <w:sz w:val="24"/>
              </w:rPr>
              <w:t>男生</w:t>
            </w:r>
          </w:p>
        </w:tc>
        <w:tc>
          <w:tcPr>
            <w:tcW w:w="1455" w:type="dxa"/>
            <w:vAlign w:val="center"/>
          </w:tcPr>
          <w:p w:rsidR="001215AF" w:rsidRDefault="001215AF" w:rsidP="004C763B">
            <w:pPr>
              <w:jc w:val="center"/>
              <w:rPr>
                <w:rFonts w:ascii="宋体" w:eastAsia="宋体" w:hAnsi="宋体" w:cs="宋体"/>
                <w:sz w:val="24"/>
              </w:rPr>
            </w:pPr>
            <w:r>
              <w:rPr>
                <w:rFonts w:ascii="宋体" w:eastAsia="宋体" w:hAnsi="宋体" w:cs="宋体" w:hint="eastAsia"/>
                <w:sz w:val="24"/>
              </w:rPr>
              <w:t>女生</w:t>
            </w:r>
          </w:p>
        </w:tc>
      </w:tr>
      <w:tr w:rsidR="001215AF" w:rsidTr="004C763B">
        <w:trPr>
          <w:trHeight w:val="317"/>
          <w:jc w:val="center"/>
        </w:trPr>
        <w:tc>
          <w:tcPr>
            <w:tcW w:w="2040" w:type="dxa"/>
            <w:vAlign w:val="center"/>
          </w:tcPr>
          <w:p w:rsidR="001215AF" w:rsidRDefault="001215AF" w:rsidP="004C763B">
            <w:pPr>
              <w:jc w:val="center"/>
              <w:rPr>
                <w:rFonts w:ascii="宋体" w:eastAsia="宋体" w:hAnsi="宋体" w:cs="宋体"/>
                <w:sz w:val="24"/>
              </w:rPr>
            </w:pPr>
            <w:r>
              <w:rPr>
                <w:rFonts w:ascii="宋体" w:eastAsia="宋体" w:hAnsi="宋体" w:cs="宋体" w:hint="eastAsia"/>
                <w:sz w:val="24"/>
              </w:rPr>
              <w:t>正常</w:t>
            </w:r>
          </w:p>
        </w:tc>
        <w:tc>
          <w:tcPr>
            <w:tcW w:w="1585" w:type="dxa"/>
            <w:vAlign w:val="center"/>
          </w:tcPr>
          <w:p w:rsidR="001215AF" w:rsidRDefault="001215AF" w:rsidP="004C763B">
            <w:pPr>
              <w:jc w:val="center"/>
              <w:rPr>
                <w:rFonts w:ascii="宋体" w:eastAsia="宋体" w:hAnsi="宋体" w:cs="宋体"/>
                <w:sz w:val="24"/>
              </w:rPr>
            </w:pPr>
            <w:r>
              <w:rPr>
                <w:rFonts w:ascii="宋体" w:eastAsia="宋体" w:hAnsi="宋体" w:cs="宋体" w:hint="eastAsia"/>
                <w:sz w:val="24"/>
              </w:rPr>
              <w:t>100</w:t>
            </w:r>
          </w:p>
        </w:tc>
        <w:tc>
          <w:tcPr>
            <w:tcW w:w="2010" w:type="dxa"/>
            <w:vAlign w:val="center"/>
          </w:tcPr>
          <w:p w:rsidR="001215AF" w:rsidRDefault="001215AF" w:rsidP="004C763B">
            <w:pPr>
              <w:jc w:val="center"/>
              <w:rPr>
                <w:rFonts w:ascii="宋体" w:eastAsia="宋体" w:hAnsi="宋体" w:cs="宋体"/>
              </w:rPr>
            </w:pPr>
            <w:r>
              <w:rPr>
                <w:rFonts w:ascii="宋体" w:eastAsia="宋体" w:hAnsi="宋体" w:cs="宋体" w:hint="eastAsia"/>
              </w:rPr>
              <w:t>17.9~23.9</w:t>
            </w:r>
          </w:p>
        </w:tc>
        <w:tc>
          <w:tcPr>
            <w:tcW w:w="1455" w:type="dxa"/>
            <w:vAlign w:val="center"/>
          </w:tcPr>
          <w:p w:rsidR="001215AF" w:rsidRDefault="001215AF" w:rsidP="004C763B">
            <w:pPr>
              <w:jc w:val="center"/>
              <w:rPr>
                <w:rFonts w:ascii="宋体" w:eastAsia="宋体" w:hAnsi="宋体" w:cs="宋体"/>
              </w:rPr>
            </w:pPr>
            <w:r>
              <w:rPr>
                <w:rFonts w:ascii="宋体" w:eastAsia="宋体" w:hAnsi="宋体" w:cs="宋体" w:hint="eastAsia"/>
              </w:rPr>
              <w:t>17.2~23.9</w:t>
            </w:r>
          </w:p>
        </w:tc>
      </w:tr>
      <w:tr w:rsidR="001215AF" w:rsidTr="004C763B">
        <w:trPr>
          <w:trHeight w:val="317"/>
          <w:jc w:val="center"/>
        </w:trPr>
        <w:tc>
          <w:tcPr>
            <w:tcW w:w="2040" w:type="dxa"/>
            <w:vAlign w:val="center"/>
          </w:tcPr>
          <w:p w:rsidR="001215AF" w:rsidRDefault="001215AF" w:rsidP="004C763B">
            <w:pPr>
              <w:jc w:val="center"/>
              <w:rPr>
                <w:rFonts w:ascii="宋体" w:eastAsia="宋体" w:hAnsi="宋体" w:cs="宋体"/>
                <w:sz w:val="24"/>
              </w:rPr>
            </w:pPr>
            <w:r>
              <w:rPr>
                <w:rFonts w:ascii="宋体" w:eastAsia="宋体" w:hAnsi="宋体" w:cs="宋体" w:hint="eastAsia"/>
                <w:sz w:val="24"/>
              </w:rPr>
              <w:t>低体重</w:t>
            </w:r>
          </w:p>
        </w:tc>
        <w:tc>
          <w:tcPr>
            <w:tcW w:w="1585" w:type="dxa"/>
            <w:vMerge w:val="restart"/>
            <w:vAlign w:val="center"/>
          </w:tcPr>
          <w:p w:rsidR="001215AF" w:rsidRDefault="001215AF" w:rsidP="004C763B">
            <w:pPr>
              <w:jc w:val="center"/>
              <w:rPr>
                <w:rFonts w:ascii="宋体" w:eastAsia="宋体" w:hAnsi="宋体" w:cs="宋体"/>
                <w:sz w:val="24"/>
              </w:rPr>
            </w:pPr>
            <w:r>
              <w:rPr>
                <w:rFonts w:ascii="宋体" w:eastAsia="宋体" w:hAnsi="宋体" w:cs="宋体" w:hint="eastAsia"/>
                <w:sz w:val="24"/>
              </w:rPr>
              <w:t>80</w:t>
            </w:r>
          </w:p>
        </w:tc>
        <w:tc>
          <w:tcPr>
            <w:tcW w:w="2010" w:type="dxa"/>
            <w:vAlign w:val="center"/>
          </w:tcPr>
          <w:p w:rsidR="001215AF" w:rsidRDefault="001215AF" w:rsidP="004C763B">
            <w:pPr>
              <w:jc w:val="center"/>
              <w:rPr>
                <w:rFonts w:ascii="宋体" w:eastAsia="宋体" w:hAnsi="宋体" w:cs="宋体"/>
              </w:rPr>
            </w:pPr>
            <w:r>
              <w:rPr>
                <w:rFonts w:ascii="宋体" w:eastAsia="宋体" w:hAnsi="宋体" w:cs="宋体" w:hint="eastAsia"/>
              </w:rPr>
              <w:t>≤17.8</w:t>
            </w:r>
          </w:p>
        </w:tc>
        <w:tc>
          <w:tcPr>
            <w:tcW w:w="1455" w:type="dxa"/>
            <w:vAlign w:val="center"/>
          </w:tcPr>
          <w:p w:rsidR="001215AF" w:rsidRDefault="001215AF" w:rsidP="004C763B">
            <w:pPr>
              <w:jc w:val="center"/>
              <w:rPr>
                <w:rFonts w:ascii="宋体" w:eastAsia="宋体" w:hAnsi="宋体" w:cs="宋体"/>
              </w:rPr>
            </w:pPr>
            <w:r>
              <w:rPr>
                <w:rFonts w:ascii="宋体" w:eastAsia="宋体" w:hAnsi="宋体" w:cs="宋体" w:hint="eastAsia"/>
              </w:rPr>
              <w:t>≤17.1</w:t>
            </w:r>
          </w:p>
        </w:tc>
      </w:tr>
      <w:tr w:rsidR="001215AF" w:rsidTr="004C763B">
        <w:trPr>
          <w:trHeight w:val="317"/>
          <w:jc w:val="center"/>
        </w:trPr>
        <w:tc>
          <w:tcPr>
            <w:tcW w:w="2040" w:type="dxa"/>
            <w:vAlign w:val="center"/>
          </w:tcPr>
          <w:p w:rsidR="001215AF" w:rsidRDefault="001215AF" w:rsidP="004C763B">
            <w:pPr>
              <w:jc w:val="center"/>
              <w:rPr>
                <w:rFonts w:ascii="宋体" w:eastAsia="宋体" w:hAnsi="宋体" w:cs="宋体"/>
                <w:sz w:val="24"/>
              </w:rPr>
            </w:pPr>
            <w:r>
              <w:rPr>
                <w:rFonts w:ascii="宋体" w:eastAsia="宋体" w:hAnsi="宋体" w:cs="宋体" w:hint="eastAsia"/>
                <w:sz w:val="24"/>
              </w:rPr>
              <w:t>超重</w:t>
            </w:r>
          </w:p>
        </w:tc>
        <w:tc>
          <w:tcPr>
            <w:tcW w:w="1585" w:type="dxa"/>
            <w:vMerge/>
            <w:vAlign w:val="center"/>
          </w:tcPr>
          <w:p w:rsidR="001215AF" w:rsidRDefault="001215AF" w:rsidP="004C763B">
            <w:pPr>
              <w:jc w:val="center"/>
              <w:rPr>
                <w:rFonts w:ascii="宋体" w:eastAsia="宋体" w:hAnsi="宋体" w:cs="宋体"/>
                <w:sz w:val="24"/>
              </w:rPr>
            </w:pPr>
          </w:p>
        </w:tc>
        <w:tc>
          <w:tcPr>
            <w:tcW w:w="2010" w:type="dxa"/>
            <w:vAlign w:val="center"/>
          </w:tcPr>
          <w:p w:rsidR="001215AF" w:rsidRDefault="001215AF" w:rsidP="004C763B">
            <w:pPr>
              <w:jc w:val="center"/>
              <w:rPr>
                <w:rFonts w:ascii="宋体" w:eastAsia="宋体" w:hAnsi="宋体" w:cs="宋体"/>
              </w:rPr>
            </w:pPr>
            <w:r>
              <w:rPr>
                <w:rFonts w:ascii="宋体" w:eastAsia="宋体" w:hAnsi="宋体" w:cs="宋体" w:hint="eastAsia"/>
              </w:rPr>
              <w:t>24.0~27.9</w:t>
            </w:r>
          </w:p>
        </w:tc>
        <w:tc>
          <w:tcPr>
            <w:tcW w:w="1455" w:type="dxa"/>
            <w:vAlign w:val="center"/>
          </w:tcPr>
          <w:p w:rsidR="001215AF" w:rsidRDefault="001215AF" w:rsidP="004C763B">
            <w:pPr>
              <w:jc w:val="center"/>
              <w:rPr>
                <w:rFonts w:ascii="宋体" w:eastAsia="宋体" w:hAnsi="宋体" w:cs="宋体"/>
              </w:rPr>
            </w:pPr>
            <w:r>
              <w:rPr>
                <w:rFonts w:ascii="宋体" w:eastAsia="宋体" w:hAnsi="宋体" w:cs="宋体" w:hint="eastAsia"/>
              </w:rPr>
              <w:t>24.0~27.9</w:t>
            </w:r>
          </w:p>
        </w:tc>
      </w:tr>
      <w:tr w:rsidR="001215AF" w:rsidTr="004C763B">
        <w:trPr>
          <w:trHeight w:val="317"/>
          <w:jc w:val="center"/>
        </w:trPr>
        <w:tc>
          <w:tcPr>
            <w:tcW w:w="2040" w:type="dxa"/>
            <w:vAlign w:val="center"/>
          </w:tcPr>
          <w:p w:rsidR="001215AF" w:rsidRDefault="001215AF" w:rsidP="004C763B">
            <w:pPr>
              <w:jc w:val="center"/>
              <w:rPr>
                <w:rFonts w:ascii="宋体" w:eastAsia="宋体" w:hAnsi="宋体" w:cs="宋体"/>
                <w:sz w:val="24"/>
              </w:rPr>
            </w:pPr>
            <w:r>
              <w:rPr>
                <w:rFonts w:ascii="宋体" w:eastAsia="宋体" w:hAnsi="宋体" w:cs="宋体" w:hint="eastAsia"/>
                <w:sz w:val="24"/>
              </w:rPr>
              <w:t>肥胖</w:t>
            </w:r>
          </w:p>
        </w:tc>
        <w:tc>
          <w:tcPr>
            <w:tcW w:w="1585" w:type="dxa"/>
            <w:vAlign w:val="center"/>
          </w:tcPr>
          <w:p w:rsidR="001215AF" w:rsidRDefault="001215AF" w:rsidP="004C763B">
            <w:pPr>
              <w:jc w:val="center"/>
              <w:rPr>
                <w:rFonts w:ascii="宋体" w:eastAsia="宋体" w:hAnsi="宋体" w:cs="宋体"/>
                <w:sz w:val="24"/>
              </w:rPr>
            </w:pPr>
            <w:r>
              <w:rPr>
                <w:rFonts w:ascii="宋体" w:eastAsia="宋体" w:hAnsi="宋体" w:cs="宋体" w:hint="eastAsia"/>
                <w:sz w:val="24"/>
              </w:rPr>
              <w:t>60</w:t>
            </w:r>
          </w:p>
        </w:tc>
        <w:tc>
          <w:tcPr>
            <w:tcW w:w="2010" w:type="dxa"/>
            <w:vAlign w:val="center"/>
          </w:tcPr>
          <w:p w:rsidR="001215AF" w:rsidRDefault="001215AF" w:rsidP="004C763B">
            <w:pPr>
              <w:jc w:val="center"/>
              <w:rPr>
                <w:rFonts w:ascii="宋体" w:eastAsia="宋体" w:hAnsi="宋体" w:cs="宋体"/>
              </w:rPr>
            </w:pPr>
            <w:r>
              <w:rPr>
                <w:rFonts w:ascii="宋体" w:eastAsia="宋体" w:hAnsi="宋体" w:cs="宋体" w:hint="eastAsia"/>
              </w:rPr>
              <w:t>≥28.0</w:t>
            </w:r>
          </w:p>
        </w:tc>
        <w:tc>
          <w:tcPr>
            <w:tcW w:w="1455" w:type="dxa"/>
            <w:vAlign w:val="center"/>
          </w:tcPr>
          <w:p w:rsidR="001215AF" w:rsidRDefault="001215AF" w:rsidP="004C763B">
            <w:pPr>
              <w:jc w:val="center"/>
              <w:rPr>
                <w:rFonts w:ascii="宋体" w:eastAsia="宋体" w:hAnsi="宋体" w:cs="宋体"/>
              </w:rPr>
            </w:pPr>
            <w:r>
              <w:rPr>
                <w:rFonts w:ascii="宋体" w:eastAsia="宋体" w:hAnsi="宋体" w:cs="宋体" w:hint="eastAsia"/>
              </w:rPr>
              <w:t>≥28.0</w:t>
            </w:r>
          </w:p>
        </w:tc>
      </w:tr>
    </w:tbl>
    <w:p w:rsidR="001215AF" w:rsidRDefault="001215AF" w:rsidP="001215AF">
      <w:pPr>
        <w:spacing w:line="360" w:lineRule="auto"/>
        <w:rPr>
          <w:rFonts w:ascii="宋体" w:eastAsia="宋体" w:hAnsi="宋体" w:cs="宋体"/>
          <w:sz w:val="28"/>
          <w:szCs w:val="28"/>
        </w:rPr>
      </w:pPr>
    </w:p>
    <w:p w:rsidR="001215AF" w:rsidRDefault="001215AF" w:rsidP="001215AF">
      <w:pPr>
        <w:spacing w:line="360" w:lineRule="auto"/>
        <w:ind w:firstLine="200"/>
        <w:rPr>
          <w:rFonts w:ascii="仿宋" w:eastAsia="仿宋" w:hAnsi="仿宋"/>
          <w:sz w:val="28"/>
          <w:szCs w:val="28"/>
        </w:rPr>
      </w:pPr>
    </w:p>
    <w:p w:rsidR="001215AF" w:rsidRDefault="001215AF" w:rsidP="001215AF">
      <w:pPr>
        <w:spacing w:line="360" w:lineRule="auto"/>
        <w:rPr>
          <w:rFonts w:ascii="仿宋" w:eastAsia="仿宋" w:hAnsi="仿宋"/>
          <w:sz w:val="28"/>
          <w:szCs w:val="28"/>
        </w:rPr>
        <w:sectPr w:rsidR="001215AF" w:rsidSect="009168B6">
          <w:footerReference w:type="default" r:id="rId7"/>
          <w:pgSz w:w="11907" w:h="16839" w:code="9"/>
          <w:pgMar w:top="1418" w:right="1758" w:bottom="1418" w:left="1758" w:header="851" w:footer="992" w:gutter="0"/>
          <w:cols w:space="720"/>
          <w:docGrid w:type="lines" w:linePitch="312"/>
        </w:sectPr>
      </w:pPr>
    </w:p>
    <w:p w:rsidR="001215AF" w:rsidRDefault="001215AF" w:rsidP="001215AF">
      <w:pPr>
        <w:autoSpaceDE w:val="0"/>
        <w:autoSpaceDN w:val="0"/>
        <w:jc w:val="center"/>
        <w:rPr>
          <w:rFonts w:ascii="宋体" w:hAnsi="Calibri" w:cs="宋体"/>
          <w:b/>
          <w:bCs/>
          <w:sz w:val="28"/>
          <w:szCs w:val="28"/>
        </w:rPr>
      </w:pPr>
      <w:r>
        <w:rPr>
          <w:rFonts w:ascii="宋体" w:hAnsi="Calibri" w:cs="宋体"/>
          <w:b/>
          <w:bCs/>
          <w:sz w:val="28"/>
          <w:szCs w:val="28"/>
        </w:rPr>
        <w:lastRenderedPageBreak/>
        <w:t>《国家学生体质健康标准（</w:t>
      </w:r>
      <w:r>
        <w:rPr>
          <w:rFonts w:ascii="宋体" w:hAnsi="Calibri" w:cs="宋体"/>
          <w:b/>
          <w:bCs/>
          <w:sz w:val="28"/>
          <w:szCs w:val="28"/>
        </w:rPr>
        <w:t>2014</w:t>
      </w:r>
      <w:r>
        <w:rPr>
          <w:rFonts w:ascii="宋体" w:hAnsi="Calibri" w:cs="宋体"/>
          <w:b/>
          <w:bCs/>
          <w:sz w:val="28"/>
          <w:szCs w:val="28"/>
        </w:rPr>
        <w:t>年修订）》大学</w:t>
      </w:r>
      <w:r>
        <w:rPr>
          <w:rFonts w:ascii="宋体" w:hAnsi="Calibri" w:cs="宋体" w:hint="eastAsia"/>
          <w:b/>
          <w:bCs/>
          <w:sz w:val="28"/>
          <w:szCs w:val="28"/>
        </w:rPr>
        <w:t>评分表</w:t>
      </w:r>
    </w:p>
    <w:p w:rsidR="001215AF" w:rsidRDefault="001215AF" w:rsidP="001215AF">
      <w:pPr>
        <w:autoSpaceDE w:val="0"/>
        <w:autoSpaceDN w:val="0"/>
        <w:jc w:val="center"/>
        <w:rPr>
          <w:rFonts w:ascii="宋体" w:hAnsi="Calibri" w:cs="宋体"/>
          <w:b/>
          <w:bCs/>
          <w:sz w:val="28"/>
          <w:szCs w:val="28"/>
        </w:rPr>
      </w:pPr>
      <w:r>
        <w:rPr>
          <w:rFonts w:ascii="宋体" w:hAnsi="Calibri" w:cs="宋体"/>
          <w:b/>
          <w:bCs/>
          <w:noProof/>
          <w:sz w:val="28"/>
          <w:szCs w:val="28"/>
        </w:rPr>
        <w:drawing>
          <wp:inline distT="0" distB="0" distL="0" distR="0">
            <wp:extent cx="10111740" cy="5448300"/>
            <wp:effectExtent l="0" t="0" r="3810" b="0"/>
            <wp:docPr id="2"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11740" cy="5448300"/>
                    </a:xfrm>
                    <a:prstGeom prst="rect">
                      <a:avLst/>
                    </a:prstGeom>
                    <a:noFill/>
                    <a:ln>
                      <a:noFill/>
                    </a:ln>
                  </pic:spPr>
                </pic:pic>
              </a:graphicData>
            </a:graphic>
          </wp:inline>
        </w:drawing>
      </w:r>
    </w:p>
    <w:p w:rsidR="001215AF" w:rsidRDefault="001215AF" w:rsidP="001215AF">
      <w:pPr>
        <w:autoSpaceDE w:val="0"/>
        <w:autoSpaceDN w:val="0"/>
        <w:jc w:val="center"/>
        <w:rPr>
          <w:rFonts w:ascii="宋体" w:hAnsi="Calibri" w:cs="宋体"/>
          <w:b/>
          <w:bCs/>
          <w:sz w:val="28"/>
          <w:szCs w:val="28"/>
        </w:rPr>
        <w:sectPr w:rsidR="001215AF">
          <w:pgSz w:w="16840" w:h="11907" w:orient="landscape"/>
          <w:pgMar w:top="567" w:right="567" w:bottom="567" w:left="567" w:header="709" w:footer="709" w:gutter="0"/>
          <w:cols w:space="720"/>
          <w:docGrid w:linePitch="360"/>
        </w:sectPr>
      </w:pPr>
    </w:p>
    <w:p w:rsidR="001215AF" w:rsidRDefault="001215AF" w:rsidP="001215AF">
      <w:pPr>
        <w:autoSpaceDE w:val="0"/>
        <w:autoSpaceDN w:val="0"/>
        <w:jc w:val="center"/>
        <w:rPr>
          <w:rFonts w:ascii="宋体" w:hAnsi="Calibri" w:cs="宋体"/>
          <w:b/>
          <w:bCs/>
          <w:sz w:val="28"/>
          <w:szCs w:val="28"/>
        </w:rPr>
      </w:pPr>
      <w:r>
        <w:rPr>
          <w:rFonts w:ascii="宋体" w:hAnsi="Calibri" w:cs="宋体"/>
          <w:b/>
          <w:bCs/>
          <w:noProof/>
          <w:sz w:val="28"/>
          <w:szCs w:val="28"/>
        </w:rPr>
        <w:drawing>
          <wp:anchor distT="0" distB="0" distL="114300" distR="114300" simplePos="0" relativeHeight="251658240" behindDoc="0" locked="0" layoutInCell="1" allowOverlap="1">
            <wp:simplePos x="914400" y="1143000"/>
            <wp:positionH relativeFrom="margin">
              <wp:align>center</wp:align>
            </wp:positionH>
            <wp:positionV relativeFrom="margin">
              <wp:align>center</wp:align>
            </wp:positionV>
            <wp:extent cx="9667875" cy="5239385"/>
            <wp:effectExtent l="0" t="0" r="9525" b="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67875" cy="5239385"/>
                    </a:xfrm>
                    <a:prstGeom prst="rect">
                      <a:avLst/>
                    </a:prstGeom>
                    <a:noFill/>
                    <a:ln>
                      <a:noFill/>
                    </a:ln>
                  </pic:spPr>
                </pic:pic>
              </a:graphicData>
            </a:graphic>
          </wp:anchor>
        </w:drawing>
      </w:r>
    </w:p>
    <w:p w:rsidR="001215AF" w:rsidRDefault="001215AF" w:rsidP="001215AF">
      <w:pPr>
        <w:autoSpaceDE w:val="0"/>
        <w:autoSpaceDN w:val="0"/>
        <w:jc w:val="center"/>
        <w:rPr>
          <w:rFonts w:ascii="宋体" w:hAnsi="Calibri" w:cs="宋体"/>
          <w:b/>
          <w:bCs/>
          <w:sz w:val="28"/>
          <w:szCs w:val="28"/>
        </w:rPr>
      </w:pPr>
    </w:p>
    <w:p w:rsidR="001215AF" w:rsidRDefault="001215AF" w:rsidP="001215AF">
      <w:pPr>
        <w:autoSpaceDE w:val="0"/>
        <w:autoSpaceDN w:val="0"/>
        <w:jc w:val="center"/>
        <w:rPr>
          <w:rFonts w:ascii="宋体" w:hAnsi="Calibri" w:cs="宋体"/>
          <w:b/>
          <w:bCs/>
          <w:sz w:val="28"/>
          <w:szCs w:val="28"/>
        </w:rPr>
      </w:pPr>
      <w:r>
        <w:rPr>
          <w:rFonts w:ascii="宋体" w:hAnsi="Calibri" w:cs="宋体"/>
          <w:b/>
          <w:bCs/>
          <w:noProof/>
          <w:sz w:val="28"/>
          <w:szCs w:val="28"/>
        </w:rPr>
        <w:drawing>
          <wp:inline distT="0" distB="0" distL="0" distR="0">
            <wp:extent cx="7414260" cy="3787140"/>
            <wp:effectExtent l="0" t="0" r="0" b="381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14260" cy="3787140"/>
                    </a:xfrm>
                    <a:prstGeom prst="rect">
                      <a:avLst/>
                    </a:prstGeom>
                    <a:noFill/>
                    <a:ln>
                      <a:noFill/>
                    </a:ln>
                  </pic:spPr>
                </pic:pic>
              </a:graphicData>
            </a:graphic>
          </wp:inline>
        </w:drawing>
      </w:r>
    </w:p>
    <w:p w:rsidR="001215AF" w:rsidRDefault="001215AF" w:rsidP="001215AF">
      <w:pPr>
        <w:autoSpaceDE w:val="0"/>
        <w:autoSpaceDN w:val="0"/>
        <w:jc w:val="center"/>
        <w:rPr>
          <w:rFonts w:ascii="宋体" w:hAnsi="Calibri" w:cs="宋体"/>
          <w:b/>
          <w:bCs/>
          <w:sz w:val="28"/>
          <w:szCs w:val="28"/>
        </w:rPr>
      </w:pPr>
    </w:p>
    <w:p w:rsidR="001215AF" w:rsidRDefault="001215AF" w:rsidP="001215AF">
      <w:pPr>
        <w:spacing w:line="300" w:lineRule="atLeast"/>
        <w:ind w:firstLineChars="300" w:firstLine="720"/>
        <w:rPr>
          <w:rFonts w:ascii="宋体" w:hAnsi="宋体" w:cs="宋体"/>
          <w:color w:val="000000"/>
          <w:sz w:val="24"/>
        </w:rPr>
      </w:pPr>
      <w:r>
        <w:rPr>
          <w:rFonts w:ascii="仿宋" w:eastAsia="仿宋" w:hAnsi="仿宋" w:cs="宋体" w:hint="eastAsia"/>
          <w:color w:val="000000"/>
          <w:sz w:val="24"/>
        </w:rPr>
        <w:t>注：引体向上、一分钟仰卧起坐均为高优指标，学生成绩超过单项评分</w:t>
      </w:r>
      <w:r>
        <w:rPr>
          <w:rFonts w:ascii="宋体" w:hAnsi="宋体" w:cs="宋体" w:hint="eastAsia"/>
          <w:color w:val="000000"/>
          <w:sz w:val="24"/>
        </w:rPr>
        <w:t>100</w:t>
      </w:r>
      <w:r>
        <w:rPr>
          <w:rFonts w:ascii="仿宋" w:eastAsia="仿宋" w:hAnsi="仿宋" w:cs="宋体" w:hint="eastAsia"/>
          <w:color w:val="000000"/>
          <w:sz w:val="24"/>
        </w:rPr>
        <w:t>分后，以超过的次数所对应的分数进行加分；</w:t>
      </w:r>
    </w:p>
    <w:p w:rsidR="00A75733" w:rsidRPr="00DC16EE" w:rsidRDefault="001215AF" w:rsidP="00DC16EE">
      <w:pPr>
        <w:spacing w:line="300" w:lineRule="atLeast"/>
        <w:ind w:firstLineChars="300" w:firstLine="720"/>
      </w:pPr>
      <w:r>
        <w:rPr>
          <w:rFonts w:ascii="仿宋" w:eastAsia="仿宋" w:hAnsi="仿宋" w:cs="宋体" w:hint="eastAsia"/>
          <w:color w:val="000000"/>
          <w:sz w:val="24"/>
        </w:rPr>
        <w:t>1000米跑、</w:t>
      </w:r>
      <w:r>
        <w:rPr>
          <w:rFonts w:ascii="宋体" w:hAnsi="宋体" w:cs="宋体" w:hint="eastAsia"/>
          <w:color w:val="000000"/>
          <w:sz w:val="24"/>
        </w:rPr>
        <w:t>800</w:t>
      </w:r>
      <w:r>
        <w:rPr>
          <w:rFonts w:ascii="仿宋" w:eastAsia="仿宋" w:hAnsi="仿宋" w:cs="宋体" w:hint="eastAsia"/>
          <w:color w:val="000000"/>
          <w:sz w:val="24"/>
        </w:rPr>
        <w:t>米跑均为低优指标，学生成绩低于单项评分</w:t>
      </w:r>
      <w:r>
        <w:rPr>
          <w:rFonts w:ascii="宋体" w:hAnsi="宋体" w:cs="宋体" w:hint="eastAsia"/>
          <w:color w:val="000000"/>
          <w:sz w:val="24"/>
        </w:rPr>
        <w:t>100</w:t>
      </w:r>
      <w:r>
        <w:rPr>
          <w:rFonts w:ascii="仿宋" w:eastAsia="仿宋" w:hAnsi="仿宋" w:cs="宋体" w:hint="eastAsia"/>
          <w:color w:val="000000"/>
          <w:sz w:val="24"/>
        </w:rPr>
        <w:t>分后，以减少的秒数所对应的分数进行加分。</w:t>
      </w:r>
    </w:p>
    <w:sectPr w:rsidR="00A75733" w:rsidRPr="00DC16EE" w:rsidSect="00DC16EE">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341" w:rsidRDefault="00073341" w:rsidP="00073341">
      <w:pPr>
        <w:spacing w:after="0"/>
      </w:pPr>
      <w:r>
        <w:separator/>
      </w:r>
    </w:p>
  </w:endnote>
  <w:endnote w:type="continuationSeparator" w:id="0">
    <w:p w:rsidR="00073341" w:rsidRDefault="00073341" w:rsidP="0007334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ECB" w:rsidRDefault="00073341">
    <w:pPr>
      <w:pStyle w:val="a3"/>
      <w:jc w:val="center"/>
    </w:pPr>
    <w:r w:rsidRPr="00073341">
      <w:fldChar w:fldCharType="begin"/>
    </w:r>
    <w:r w:rsidR="00DC16EE">
      <w:instrText>PAGE   \* MERGEFORMAT</w:instrText>
    </w:r>
    <w:r w:rsidRPr="00073341">
      <w:fldChar w:fldCharType="separate"/>
    </w:r>
    <w:r w:rsidR="00FC3B46" w:rsidRPr="00FC3B46">
      <w:rPr>
        <w:noProof/>
        <w:lang w:val="zh-CN"/>
      </w:rPr>
      <w:t>1</w:t>
    </w:r>
    <w:r>
      <w:rPr>
        <w:lang w:val="zh-CN"/>
      </w:rPr>
      <w:fldChar w:fldCharType="end"/>
    </w:r>
  </w:p>
  <w:p w:rsidR="00E24ECB" w:rsidRDefault="00FC3B4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341" w:rsidRDefault="00073341" w:rsidP="00073341">
      <w:pPr>
        <w:spacing w:after="0"/>
      </w:pPr>
      <w:r>
        <w:separator/>
      </w:r>
    </w:p>
  </w:footnote>
  <w:footnote w:type="continuationSeparator" w:id="0">
    <w:p w:rsidR="00073341" w:rsidRDefault="00073341" w:rsidP="0007334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15AF"/>
    <w:rsid w:val="00073341"/>
    <w:rsid w:val="001215AF"/>
    <w:rsid w:val="00A75733"/>
    <w:rsid w:val="00DC16EE"/>
    <w:rsid w:val="00FC3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5AF"/>
    <w:pPr>
      <w:adjustRightInd w:val="0"/>
      <w:snapToGrid w:val="0"/>
      <w:spacing w:after="200"/>
    </w:pPr>
    <w:rPr>
      <w:rFonts w:ascii="Tahoma" w:eastAsia="微软雅黑" w:hAnsi="Tahoma" w:cs="黑体"/>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215AF"/>
    <w:pPr>
      <w:tabs>
        <w:tab w:val="center" w:pos="4153"/>
        <w:tab w:val="right" w:pos="8306"/>
      </w:tabs>
    </w:pPr>
    <w:rPr>
      <w:sz w:val="18"/>
      <w:szCs w:val="18"/>
    </w:rPr>
  </w:style>
  <w:style w:type="character" w:customStyle="1" w:styleId="Char">
    <w:name w:val="页脚 Char"/>
    <w:basedOn w:val="a0"/>
    <w:link w:val="a3"/>
    <w:uiPriority w:val="99"/>
    <w:rsid w:val="001215AF"/>
    <w:rPr>
      <w:rFonts w:ascii="Tahoma" w:eastAsia="微软雅黑" w:hAnsi="Tahoma" w:cs="黑体"/>
      <w:kern w:val="0"/>
      <w:sz w:val="18"/>
      <w:szCs w:val="18"/>
    </w:rPr>
  </w:style>
  <w:style w:type="paragraph" w:styleId="a4">
    <w:name w:val="Balloon Text"/>
    <w:basedOn w:val="a"/>
    <w:link w:val="Char0"/>
    <w:uiPriority w:val="99"/>
    <w:semiHidden/>
    <w:unhideWhenUsed/>
    <w:rsid w:val="001215AF"/>
    <w:pPr>
      <w:spacing w:after="0"/>
    </w:pPr>
    <w:rPr>
      <w:sz w:val="18"/>
      <w:szCs w:val="18"/>
    </w:rPr>
  </w:style>
  <w:style w:type="character" w:customStyle="1" w:styleId="Char0">
    <w:name w:val="批注框文本 Char"/>
    <w:basedOn w:val="a0"/>
    <w:link w:val="a4"/>
    <w:uiPriority w:val="99"/>
    <w:semiHidden/>
    <w:rsid w:val="001215AF"/>
    <w:rPr>
      <w:rFonts w:ascii="Tahoma" w:eastAsia="微软雅黑" w:hAnsi="Tahoma" w:cs="黑体"/>
      <w:kern w:val="0"/>
      <w:sz w:val="18"/>
      <w:szCs w:val="18"/>
    </w:rPr>
  </w:style>
  <w:style w:type="paragraph" w:styleId="a5">
    <w:name w:val="header"/>
    <w:basedOn w:val="a"/>
    <w:link w:val="Char1"/>
    <w:uiPriority w:val="99"/>
    <w:semiHidden/>
    <w:unhideWhenUsed/>
    <w:rsid w:val="00FC3B4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semiHidden/>
    <w:rsid w:val="00FC3B46"/>
    <w:rPr>
      <w:rFonts w:ascii="Tahoma" w:eastAsia="微软雅黑" w:hAnsi="Tahoma" w:cs="黑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5AF"/>
    <w:pPr>
      <w:adjustRightInd w:val="0"/>
      <w:snapToGrid w:val="0"/>
      <w:spacing w:after="200"/>
    </w:pPr>
    <w:rPr>
      <w:rFonts w:ascii="Tahoma" w:eastAsia="微软雅黑" w:hAnsi="Tahoma" w:cs="黑体"/>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215AF"/>
    <w:pPr>
      <w:tabs>
        <w:tab w:val="center" w:pos="4153"/>
        <w:tab w:val="right" w:pos="8306"/>
      </w:tabs>
    </w:pPr>
    <w:rPr>
      <w:sz w:val="18"/>
      <w:szCs w:val="18"/>
    </w:rPr>
  </w:style>
  <w:style w:type="character" w:customStyle="1" w:styleId="Char">
    <w:name w:val="页脚 Char"/>
    <w:basedOn w:val="a0"/>
    <w:link w:val="a3"/>
    <w:uiPriority w:val="99"/>
    <w:rsid w:val="001215AF"/>
    <w:rPr>
      <w:rFonts w:ascii="Tahoma" w:eastAsia="微软雅黑" w:hAnsi="Tahoma" w:cs="黑体"/>
      <w:kern w:val="0"/>
      <w:sz w:val="18"/>
      <w:szCs w:val="18"/>
    </w:rPr>
  </w:style>
  <w:style w:type="paragraph" w:styleId="a4">
    <w:name w:val="Balloon Text"/>
    <w:basedOn w:val="a"/>
    <w:link w:val="Char0"/>
    <w:uiPriority w:val="99"/>
    <w:semiHidden/>
    <w:unhideWhenUsed/>
    <w:rsid w:val="001215AF"/>
    <w:pPr>
      <w:spacing w:after="0"/>
    </w:pPr>
    <w:rPr>
      <w:sz w:val="18"/>
      <w:szCs w:val="18"/>
    </w:rPr>
  </w:style>
  <w:style w:type="character" w:customStyle="1" w:styleId="Char0">
    <w:name w:val="批注框文本 Char"/>
    <w:basedOn w:val="a0"/>
    <w:link w:val="a4"/>
    <w:uiPriority w:val="99"/>
    <w:semiHidden/>
    <w:rsid w:val="001215AF"/>
    <w:rPr>
      <w:rFonts w:ascii="Tahoma" w:eastAsia="微软雅黑" w:hAnsi="Tahoma" w:cs="黑体"/>
      <w:kern w:val="0"/>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DA196-7E25-4605-99FB-B3882CE68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fgh</dc:creator>
  <cp:lastModifiedBy>Windows 用户</cp:lastModifiedBy>
  <cp:revision>2</cp:revision>
  <dcterms:created xsi:type="dcterms:W3CDTF">2016-09-13T06:55:00Z</dcterms:created>
  <dcterms:modified xsi:type="dcterms:W3CDTF">2016-09-13T06:55:00Z</dcterms:modified>
</cp:coreProperties>
</file>